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3504E" w:rsidRDefault="003940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постанови Кабінету Міністрів України</w:t>
      </w:r>
    </w:p>
    <w:p w14:paraId="00000002" w14:textId="77777777" w:rsidR="0013504E" w:rsidRDefault="003940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 внесення змін до Порядку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укладення державними підприємствами, установами, організаціями, а також господарськими товариствами, у статутному капіталі яких більше 50 відсотків акцій (часток) належать державі, у яких утворення наглядової ради не є обов'язковим відповідно до закону, 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також у яких утворення наглядової ради не передбачено статутом, договорів про спільну діяльність та управління майном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03" w14:textId="77777777" w:rsidR="0013504E" w:rsidRDefault="001350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13504E" w:rsidRDefault="003940B5">
      <w:pPr>
        <w:numPr>
          <w:ilvl w:val="0"/>
          <w:numId w:val="1"/>
        </w:numPr>
        <w:tabs>
          <w:tab w:val="left" w:pos="840"/>
        </w:tabs>
        <w:spacing w:line="240" w:lineRule="auto"/>
        <w:ind w:left="0"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</w:t>
      </w:r>
    </w:p>
    <w:p w14:paraId="00000005" w14:textId="77777777" w:rsidR="0013504E" w:rsidRDefault="003940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Кабінету Міністрів України «Про внесення змін до Порядку укладення державними підприємствами, установами, організ</w:t>
      </w:r>
      <w:r>
        <w:rPr>
          <w:rFonts w:ascii="Times New Roman" w:eastAsia="Times New Roman" w:hAnsi="Times New Roman" w:cs="Times New Roman"/>
          <w:sz w:val="28"/>
          <w:szCs w:val="28"/>
        </w:rPr>
        <w:t>аціями, а також господарськими товариствами, у статутному капіталі яких більше 50 відсотків акцій (часток) належать державі, у яких утворення наглядової ради не є обов'язковим відповідно до закону, а також у яких утворення наглядової ради не передбачено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атутом, договорів про спільну діяльність та управління майном» (далі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постанови) розроблено з метою встановлення розрахунку розміру доходу установника управління, який є суб’єктом управління об’єктами державної власності, який здійснює повноваження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реалізації прав держави як власника майна, яке підлягає передачі в управління (далі - орган управління), або суб’єктом господарювання, що повністю утримується за рахунок державного бюджету, який підлягає сплаті на користь установника управління.</w:t>
      </w:r>
    </w:p>
    <w:p w14:paraId="00000006" w14:textId="77777777" w:rsidR="0013504E" w:rsidRDefault="0013504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13504E" w:rsidRDefault="003940B5">
      <w:pPr>
        <w:numPr>
          <w:ilvl w:val="0"/>
          <w:numId w:val="1"/>
        </w:numPr>
        <w:spacing w:line="240" w:lineRule="auto"/>
        <w:ind w:left="0" w:firstLine="708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Обґрун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тування необхідності прийняття акта</w:t>
      </w:r>
    </w:p>
    <w:p w14:paraId="00000008" w14:textId="77777777" w:rsidR="0013504E" w:rsidRDefault="003940B5">
      <w:pPr>
        <w:shd w:val="clear" w:color="auto" w:fill="FFFFFF"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частини першої статті 1034 Цивільного кодексу України вигоди від майна, що передане в управління, належать установникові управління. </w:t>
      </w:r>
    </w:p>
    <w:p w14:paraId="00000009" w14:textId="77777777" w:rsidR="0013504E" w:rsidRDefault="003940B5">
      <w:pPr>
        <w:shd w:val="clear" w:color="auto" w:fill="FFFFFF"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1035 Цивільного кодексу України визначені істотні у</w:t>
      </w:r>
      <w:r>
        <w:rPr>
          <w:rFonts w:ascii="Times New Roman" w:eastAsia="Times New Roman" w:hAnsi="Times New Roman" w:cs="Times New Roman"/>
          <w:sz w:val="28"/>
          <w:szCs w:val="28"/>
        </w:rPr>
        <w:t>мови договору управління майном, серед яких є розмір і форма плати за управління майном.</w:t>
      </w:r>
    </w:p>
    <w:p w14:paraId="0000000A" w14:textId="77777777" w:rsidR="0013504E" w:rsidRDefault="003940B5">
      <w:pPr>
        <w:shd w:val="clear" w:color="auto" w:fill="FFFFFF"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Постановою Кабінету Міністрів України від 11 квітня 2012 р. № 296 затверджено Порядок укладення державними підприємствами, установами, організаціями, а також господар</w:t>
      </w:r>
      <w:r>
        <w:rPr>
          <w:rFonts w:ascii="Times New Roman" w:eastAsia="Times New Roman" w:hAnsi="Times New Roman" w:cs="Times New Roman"/>
          <w:sz w:val="28"/>
          <w:szCs w:val="28"/>
        </w:rPr>
        <w:t>ськими товариствами, у статутному капіталі яких більше 50 відсотків акцій (часток) належать державі, у яких утворення наглядової ради не є обов’язковим відповідно до закону, а також у яких утворення наглядової ради не передбачено статутом, договорів про сп</w:t>
      </w:r>
      <w:r>
        <w:rPr>
          <w:rFonts w:ascii="Times New Roman" w:eastAsia="Times New Roman" w:hAnsi="Times New Roman" w:cs="Times New Roman"/>
          <w:sz w:val="28"/>
          <w:szCs w:val="28"/>
        </w:rPr>
        <w:t>ільну діяльність та управління майном (далі – Порядок).</w:t>
      </w:r>
    </w:p>
    <w:p w14:paraId="0000000B" w14:textId="77777777" w:rsidR="0013504E" w:rsidRDefault="003940B5">
      <w:pPr>
        <w:shd w:val="clear" w:color="auto" w:fill="FFFFFF"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Пунктом 3 Порядку визначений перелік документів, що додаються до проекту рішення Кабінету Міністрів України щодо погодження укладення договору органом управління, серед яких є розрахунки щодо очікува</w:t>
      </w:r>
      <w:r>
        <w:rPr>
          <w:rFonts w:ascii="Times New Roman" w:eastAsia="Times New Roman" w:hAnsi="Times New Roman" w:cs="Times New Roman"/>
          <w:sz w:val="28"/>
          <w:szCs w:val="28"/>
        </w:rPr>
        <w:t>них щомісячних надходжень від використання майна.</w:t>
      </w:r>
    </w:p>
    <w:p w14:paraId="0000000C" w14:textId="77777777" w:rsidR="0013504E" w:rsidRDefault="003940B5">
      <w:pPr>
        <w:shd w:val="clear" w:color="auto" w:fill="FFFFFF"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цьому постановою Кабінету Міністрів України від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11 квітня 2012 р. </w:t>
        </w:r>
        <w:r>
          <w:rPr>
            <w:rFonts w:ascii="Times New Roman" w:eastAsia="Times New Roman" w:hAnsi="Times New Roman" w:cs="Times New Roman"/>
            <w:sz w:val="28"/>
            <w:szCs w:val="28"/>
          </w:rPr>
          <w:br/>
          <w:t>№ 296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було внесено зміни до Порядку, якими було передбачено, що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ником управління можуть також бути орган управління або суб’єкт господарювання, що повністю утримується за рахунок державного бюджету. </w:t>
      </w:r>
    </w:p>
    <w:p w14:paraId="0000000D" w14:textId="77777777" w:rsidR="0013504E" w:rsidRDefault="003940B5">
      <w:pPr>
        <w:shd w:val="clear" w:color="auto" w:fill="FFFFFF"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Водночас Порядок не містить порядку проведення розрахунку розміру доходу установника управління, який підлягає сплаті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користь установника управління, у разі укладання договору управління майном, що є надходженнями до державного бюджету від використання майна (з урахуванням норми Порядку, за якою у разі коли установником управління є орган управління або суб’єкт господарю</w:t>
      </w:r>
      <w:r>
        <w:rPr>
          <w:rFonts w:ascii="Times New Roman" w:eastAsia="Times New Roman" w:hAnsi="Times New Roman" w:cs="Times New Roman"/>
          <w:sz w:val="28"/>
          <w:szCs w:val="28"/>
        </w:rPr>
        <w:t>вання, що повністю утримується за рахунок державного бюджету, доходи від використання майна, переданого в управління, за вирахуванням винагороди управителя та витрат, понесених управителем у зв’язку з управлінням майном, зараховуються до державного бюджету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0E" w14:textId="77777777" w:rsidR="0013504E" w:rsidRDefault="00394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Оскільки установником управління може бути орган управління або суб’єкт господарювання, що повністю утримується за рахунок державного бюджету, виникає потреба у затвердженні розрахунку розміру доходу установника управління, який підлягає сплаті на користь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установника управління, у разі укладання договору управління майном, яким можуть користуватися й інші суб'єкти під час укладання договорів управління майном.</w:t>
      </w:r>
    </w:p>
    <w:p w14:paraId="0000000F" w14:textId="77777777" w:rsidR="0013504E" w:rsidRDefault="00394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Вирішить проблему визначення розміру доходу установника управління, обрання підходів до розрахункі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14:paraId="00000010" w14:textId="77777777" w:rsidR="0013504E" w:rsidRDefault="00394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</w:p>
    <w:p w14:paraId="00000011" w14:textId="77777777" w:rsidR="0013504E" w:rsidRDefault="003940B5">
      <w:pPr>
        <w:numPr>
          <w:ilvl w:val="0"/>
          <w:numId w:val="1"/>
        </w:numPr>
        <w:shd w:val="clear" w:color="auto" w:fill="FFFFFF"/>
        <w:spacing w:line="240" w:lineRule="auto"/>
        <w:ind w:left="0"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Основні положення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акта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14:paraId="00000012" w14:textId="77777777" w:rsidR="0013504E" w:rsidRDefault="00394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постанови Порядок доповнюється додатком, яким встановлюється розрахунок доходу установника управління, у тому числі:</w:t>
      </w:r>
    </w:p>
    <w:p w14:paraId="00000013" w14:textId="77777777" w:rsidR="0013504E" w:rsidRDefault="00394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передбачено вимогу здійснення розрахунку доходу установника за встановленими формулами;</w:t>
      </w:r>
    </w:p>
    <w:p w14:paraId="00000014" w14:textId="77777777" w:rsidR="0013504E" w:rsidRDefault="00394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встановлю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відсоток вигоди установника управління, який застосовується під час розрахунку розміру доходу установника управління за звітний період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5" w14:textId="77777777" w:rsidR="0013504E" w:rsidRDefault="00394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впроваджуються формули щодо розрахунку розміру доходу установника управління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6" w14:textId="77777777" w:rsidR="0013504E" w:rsidRDefault="00394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визначені порядок та спосіб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розрахунку та сплати управителем доходу установнику управління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7" w14:textId="77777777" w:rsidR="0013504E" w:rsidRDefault="00394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встановлена форма (додаток) розрахунку розміру доходу установника управління за результатами останнього (звітного) періоду, який підлягає сплаті на користь установника управління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8" w14:textId="77777777" w:rsidR="0013504E" w:rsidRDefault="00394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звітний період для розрахунку розміру доходу установника управління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9" w14:textId="77777777" w:rsidR="0013504E" w:rsidRDefault="00394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унормований порядок використання надмірно сплачених сум доходу установнику управління. </w:t>
      </w:r>
    </w:p>
    <w:p w14:paraId="0000001A" w14:textId="77777777" w:rsidR="0013504E" w:rsidRDefault="0013504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B" w14:textId="354E6DFC" w:rsidR="0013504E" w:rsidRDefault="0013504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DE36B0" w14:textId="72DFD8CB" w:rsidR="00403E31" w:rsidRDefault="00403E3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8CE201" w14:textId="77777777" w:rsidR="00403E31" w:rsidRDefault="00403E3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77777777" w:rsidR="0013504E" w:rsidRDefault="003940B5">
      <w:pPr>
        <w:numPr>
          <w:ilvl w:val="0"/>
          <w:numId w:val="1"/>
        </w:numPr>
        <w:shd w:val="clear" w:color="auto" w:fill="FFFFFF"/>
        <w:spacing w:line="240" w:lineRule="auto"/>
        <w:ind w:left="0"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Правові аспекти </w:t>
      </w:r>
    </w:p>
    <w:p w14:paraId="0000001D" w14:textId="77777777" w:rsidR="0013504E" w:rsidRDefault="003940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укладення договору управління майном регламентує глава 70 «Управління майном» ЦКУ.</w:t>
      </w:r>
    </w:p>
    <w:p w14:paraId="0000001E" w14:textId="77777777" w:rsidR="0013504E" w:rsidRDefault="003940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Механізм укладення державними підприємствами, установами, організаціями, а також господарськими товариствами, у статутному капіталі яких більше 50 відсотків акцій (ч</w:t>
      </w:r>
      <w:r>
        <w:rPr>
          <w:rFonts w:ascii="Times New Roman" w:eastAsia="Times New Roman" w:hAnsi="Times New Roman" w:cs="Times New Roman"/>
          <w:sz w:val="28"/>
          <w:szCs w:val="28"/>
        </w:rPr>
        <w:t>асток) належать державі, у яких утворення наглядової ради не є обов’язковим відповідно до закону, а також у яких утворення наглядової ради не передбачено статутом (далі – суб’єкт господарювання), договорів про спільну діяльність та управління майном визнач</w:t>
      </w:r>
      <w:r>
        <w:rPr>
          <w:rFonts w:ascii="Times New Roman" w:eastAsia="Times New Roman" w:hAnsi="Times New Roman" w:cs="Times New Roman"/>
          <w:sz w:val="28"/>
          <w:szCs w:val="28"/>
        </w:rPr>
        <w:t>ений Порядком, затвердженим постановою Кабінету Міністрів України від 11 квітня 2012 р. № 296.</w:t>
      </w:r>
    </w:p>
    <w:p w14:paraId="0000001F" w14:textId="77777777" w:rsidR="0013504E" w:rsidRDefault="0013504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13504E" w:rsidRDefault="003940B5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Фінансово-економічне обґрунтування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14:paraId="00000021" w14:textId="77777777" w:rsidR="0013504E" w:rsidRDefault="003940B5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Прийняття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постанови має прямий вплив на розмір надходжень до державного бюджету у вигляді доходу установника управління, якщо останній є </w:t>
      </w:r>
      <w:r>
        <w:rPr>
          <w:rFonts w:ascii="Times New Roman" w:eastAsia="Times New Roman" w:hAnsi="Times New Roman" w:cs="Times New Roman"/>
          <w:sz w:val="28"/>
          <w:szCs w:val="28"/>
        </w:rPr>
        <w:t>органом управління або суб’єктом господарювання, що повністю утримується за рахунок державного бюджету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22" w14:textId="77777777" w:rsidR="0013504E" w:rsidRDefault="003940B5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Пропоно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вана модель розрахунку гарантує дохід установника управління навіть при негативному значенні показників чистого фінансового результату   управителя на звітний період. Отже, доходи установника управління (надходження до бюджету) не залежать від фінансових 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езультатів діяльності управителя.</w:t>
      </w:r>
    </w:p>
    <w:p w14:paraId="00000023" w14:textId="77777777" w:rsidR="0013504E" w:rsidRDefault="003940B5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Відсутній ризик неотримання вигоди від управління майном у повному обсязі.</w:t>
      </w:r>
    </w:p>
    <w:p w14:paraId="00000024" w14:textId="77777777" w:rsidR="0013504E" w:rsidRDefault="003940B5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Ймовірний ризик неотримання вигоди лише в частині, що вираховується із показника валового доходу управителя.</w:t>
      </w:r>
    </w:p>
    <w:p w14:paraId="00000025" w14:textId="77777777" w:rsidR="0013504E" w:rsidRDefault="003940B5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Прозорий та зрозумілий підхід до визна</w:t>
      </w:r>
      <w:r>
        <w:rPr>
          <w:rFonts w:ascii="Times New Roman" w:eastAsia="Times New Roman" w:hAnsi="Times New Roman" w:cs="Times New Roman"/>
          <w:sz w:val="28"/>
          <w:szCs w:val="28"/>
        </w:rPr>
        <w:t>чення доходу установника управління від управління майном.</w:t>
      </w:r>
    </w:p>
    <w:p w14:paraId="00000026" w14:textId="77777777" w:rsidR="0013504E" w:rsidRDefault="003940B5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Зручний для застосування та забезпечення контролю установником управління.</w:t>
      </w:r>
    </w:p>
    <w:p w14:paraId="00000027" w14:textId="77777777" w:rsidR="0013504E" w:rsidRDefault="003940B5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Оскільки управління майном передбачає здійснення діяльності на об'єктах установника управління, а діяльність управителя на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правлена на отримання прибутків від господарської діяльності, є доцільним отримувати поточно  вигоди від майна,  застосувавши показники його вартості за оцінкою та термін його корисної експлуатації, та під час розрахунків ґрунтуватися на визначенні  </w:t>
      </w:r>
      <w:r>
        <w:rPr>
          <w:rFonts w:ascii="Times New Roman" w:eastAsia="Times New Roman" w:hAnsi="Times New Roman" w:cs="Times New Roman"/>
          <w:sz w:val="28"/>
          <w:szCs w:val="28"/>
        </w:rPr>
        <w:t>розмір</w:t>
      </w:r>
      <w:r>
        <w:rPr>
          <w:rFonts w:ascii="Times New Roman" w:eastAsia="Times New Roman" w:hAnsi="Times New Roman" w:cs="Times New Roman"/>
          <w:sz w:val="28"/>
          <w:szCs w:val="28"/>
        </w:rPr>
        <w:t>у щорічної вартості зношеної частини майна в управлінні, з додаванням сталого відсотку вигоди від валового результату господарської діяльності управителя, використовуючи майно в управлінні.</w:t>
      </w:r>
    </w:p>
    <w:p w14:paraId="00000028" w14:textId="77777777" w:rsidR="0013504E" w:rsidRDefault="003940B5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Застосування формули розрахунку доходу установника управління не 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пливає на ведення бухгалтерського обліку управителя, застосування управителем методів амортизації та безпосередньо нарахування амортизаційних відрахувань. Це відбувається за правилами та принципами бухгалтерського обліку, Стандартів та Облікової політики 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правителя. </w:t>
      </w:r>
    </w:p>
    <w:p w14:paraId="00000029" w14:textId="77777777" w:rsidR="0013504E" w:rsidRDefault="003940B5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Розрахунок зручний для використання, періоди розрахунків із установником управління є звітними періодами за законодавством. </w:t>
      </w:r>
    </w:p>
    <w:p w14:paraId="0000002A" w14:textId="77777777" w:rsidR="0013504E" w:rsidRDefault="0013504E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2B" w14:textId="77777777" w:rsidR="0013504E" w:rsidRDefault="003940B5">
      <w:pPr>
        <w:numPr>
          <w:ilvl w:val="0"/>
          <w:numId w:val="1"/>
        </w:numPr>
        <w:spacing w:line="240" w:lineRule="auto"/>
        <w:ind w:left="0"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Позиція заінтересованих сторін</w:t>
      </w:r>
      <w:r>
        <w:rPr>
          <w:rFonts w:ascii="Calibri" w:eastAsia="Calibri" w:hAnsi="Calibri" w:cs="Calibri"/>
        </w:rPr>
        <w:t xml:space="preserve"> </w:t>
      </w:r>
    </w:p>
    <w:p w14:paraId="0000002C" w14:textId="77777777" w:rsidR="0013504E" w:rsidRDefault="003940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 не стосується питань місцевого та регіонального розвитку, соціально-трудов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ої сфери, прав осіб з інвалідністю, функціонування і застосування української мови як державної, сфери наукової та науково-технічної діяльності. </w:t>
      </w:r>
    </w:p>
    <w:p w14:paraId="0000002D" w14:textId="77777777" w:rsidR="0013504E" w:rsidRDefault="0013504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13504E" w:rsidRDefault="003940B5">
      <w:pPr>
        <w:numPr>
          <w:ilvl w:val="0"/>
          <w:numId w:val="1"/>
        </w:numPr>
        <w:spacing w:line="240" w:lineRule="auto"/>
        <w:ind w:left="0"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Оцінка відповідності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F" w14:textId="77777777" w:rsidR="0013504E" w:rsidRDefault="003940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акта: не містять норм, що порушують права та свободи, гарантовані Кон</w:t>
      </w:r>
      <w:r>
        <w:rPr>
          <w:rFonts w:ascii="Times New Roman" w:eastAsia="Times New Roman" w:hAnsi="Times New Roman" w:cs="Times New Roman"/>
          <w:sz w:val="28"/>
          <w:szCs w:val="28"/>
        </w:rPr>
        <w:t>венцією про захист прав людини і основоположних свобод; не стосуються зобов’язань України у сфері європейської інтеграції; не впливають на забезпечення рівних прав та можливостей жінок і чоловіків; не містять ризиків вчинення корупційних правопорушень та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равопорушень, пов’язаних з корупцією; не створюють підстави для дискримінації. </w:t>
      </w:r>
    </w:p>
    <w:p w14:paraId="00000030" w14:textId="77777777" w:rsidR="0013504E" w:rsidRDefault="003940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Громадська антикорупційна, громадська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антидискримінаційна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громадська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ґендерно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-правова експертизи не проводились. </w:t>
      </w:r>
    </w:p>
    <w:p w14:paraId="00000031" w14:textId="77777777" w:rsidR="0013504E" w:rsidRDefault="0013504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13504E" w:rsidRDefault="003940B5">
      <w:pPr>
        <w:numPr>
          <w:ilvl w:val="0"/>
          <w:numId w:val="1"/>
        </w:numPr>
        <w:spacing w:line="240" w:lineRule="auto"/>
        <w:ind w:left="0"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Прогноз результатів</w:t>
      </w:r>
    </w:p>
    <w:p w14:paraId="00000033" w14:textId="77777777" w:rsidR="0013504E" w:rsidRDefault="003940B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Прийняття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постанови дасть змогу:</w:t>
      </w:r>
    </w:p>
    <w:p w14:paraId="00000034" w14:textId="77777777" w:rsidR="0013504E" w:rsidRDefault="003940B5">
      <w:pPr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застосовувати фіксований відсоток вигоди установника управління, який застосовується під час розрахунку розміру доходу установника управління за звітний період;</w:t>
      </w:r>
    </w:p>
    <w:p w14:paraId="00000035" w14:textId="77777777" w:rsidR="0013504E" w:rsidRDefault="003940B5">
      <w:pPr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визначати розмір доходу установника управління за встановленими формулами;</w:t>
      </w:r>
    </w:p>
    <w:p w14:paraId="00000036" w14:textId="77777777" w:rsidR="0013504E" w:rsidRDefault="003940B5">
      <w:pPr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унормувати порядок та спосіб розрахунку та сплати управителем доходу установнику управління;</w:t>
      </w:r>
    </w:p>
    <w:p w14:paraId="00000037" w14:textId="77777777" w:rsidR="0013504E" w:rsidRDefault="003940B5">
      <w:pPr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унормувати порядок використання надмірно сплачених сум доходу установнику управління.</w:t>
      </w:r>
    </w:p>
    <w:p w14:paraId="00000038" w14:textId="77777777" w:rsidR="0013504E" w:rsidRDefault="0013504E">
      <w:pPr>
        <w:spacing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0000039" w14:textId="77777777" w:rsidR="0013504E" w:rsidRDefault="0013504E">
      <w:pPr>
        <w:spacing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000003A" w14:textId="5AF7046C" w:rsidR="0013504E" w:rsidRDefault="003940B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В.</w:t>
      </w:r>
      <w:r w:rsidR="00403E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о.</w:t>
      </w:r>
      <w:r w:rsidR="00403E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Голови Фонду державного</w:t>
      </w:r>
    </w:p>
    <w:p w14:paraId="0000003B" w14:textId="77777777" w:rsidR="0013504E" w:rsidRDefault="003940B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майна України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Іванна СМАЧИЛО</w:t>
      </w:r>
    </w:p>
    <w:p w14:paraId="0000003C" w14:textId="77777777" w:rsidR="0013504E" w:rsidRDefault="0013504E">
      <w:pPr>
        <w:spacing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D" w14:textId="77777777" w:rsidR="0013504E" w:rsidRDefault="003940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«____ » ___________ 2024 р.</w:t>
      </w:r>
    </w:p>
    <w:sectPr w:rsidR="0013504E">
      <w:headerReference w:type="default" r:id="rId8"/>
      <w:pgSz w:w="11909" w:h="16834"/>
      <w:pgMar w:top="992" w:right="832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3B030" w14:textId="77777777" w:rsidR="003940B5" w:rsidRDefault="003940B5">
      <w:pPr>
        <w:spacing w:line="240" w:lineRule="auto"/>
      </w:pPr>
      <w:r>
        <w:separator/>
      </w:r>
    </w:p>
  </w:endnote>
  <w:endnote w:type="continuationSeparator" w:id="0">
    <w:p w14:paraId="31E825E8" w14:textId="77777777" w:rsidR="003940B5" w:rsidRDefault="00394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7869A" w14:textId="77777777" w:rsidR="003940B5" w:rsidRDefault="003940B5">
      <w:pPr>
        <w:spacing w:line="240" w:lineRule="auto"/>
      </w:pPr>
      <w:r>
        <w:separator/>
      </w:r>
    </w:p>
  </w:footnote>
  <w:footnote w:type="continuationSeparator" w:id="0">
    <w:p w14:paraId="5F367BB2" w14:textId="77777777" w:rsidR="003940B5" w:rsidRDefault="00394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E" w14:textId="62918A94" w:rsidR="0013504E" w:rsidRDefault="003940B5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 w:rsidR="00403E31">
      <w:rPr>
        <w:rFonts w:ascii="Times New Roman" w:eastAsia="Times New Roman" w:hAnsi="Times New Roman" w:cs="Times New Roman"/>
      </w:rPr>
      <w:fldChar w:fldCharType="separate"/>
    </w:r>
    <w:r w:rsidR="00403E31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14:paraId="0000003F" w14:textId="77777777" w:rsidR="0013504E" w:rsidRDefault="0013504E">
    <w:pPr>
      <w:jc w:val="center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90473"/>
    <w:multiLevelType w:val="multilevel"/>
    <w:tmpl w:val="DCB220AE"/>
    <w:lvl w:ilvl="0">
      <w:start w:val="1"/>
      <w:numFmt w:val="decimal"/>
      <w:lvlText w:val="%1."/>
      <w:lvlJc w:val="left"/>
      <w:pPr>
        <w:ind w:left="1440" w:hanging="731"/>
      </w:pPr>
      <w:rPr>
        <w:rFonts w:ascii="Times New Roman" w:eastAsia="Times New Roman" w:hAnsi="Times New Roman" w:cs="Times New Roman"/>
        <w:b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FF53513"/>
    <w:multiLevelType w:val="multilevel"/>
    <w:tmpl w:val="B11AA5E2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4E"/>
    <w:rsid w:val="0013504E"/>
    <w:rsid w:val="003940B5"/>
    <w:rsid w:val="0040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0A48"/>
  <w15:docId w15:val="{D9AFD94A-F2A0-4506-989C-2C77A0EA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go/481-2024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ЗАДИРАЙКО Назарій Валерійович</cp:lastModifiedBy>
  <cp:revision>2</cp:revision>
  <dcterms:created xsi:type="dcterms:W3CDTF">2024-09-23T13:12:00Z</dcterms:created>
  <dcterms:modified xsi:type="dcterms:W3CDTF">2024-09-23T13:12:00Z</dcterms:modified>
</cp:coreProperties>
</file>